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1E0C3F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675FB6">
        <w:rPr>
          <w:rFonts w:ascii="Times New Roman" w:eastAsia="Times New Roman" w:hAnsi="Times New Roman"/>
          <w:sz w:val="26"/>
          <w:szCs w:val="26"/>
          <w:lang w:eastAsia="ru-RU"/>
        </w:rPr>
        <w:t>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 w:rsidR="00B532CC">
        <w:rPr>
          <w:rFonts w:ascii="Times New Roman" w:eastAsia="Times New Roman" w:hAnsi="Times New Roman"/>
          <w:sz w:val="26"/>
          <w:szCs w:val="26"/>
          <w:lang w:eastAsia="ru-RU"/>
        </w:rPr>
        <w:t>35-106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377DFF" w:rsidRDefault="00377DFF" w:rsidP="00D728AC">
      <w:pPr>
        <w:spacing w:line="240" w:lineRule="exact"/>
        <w:jc w:val="both"/>
        <w:rPr>
          <w:sz w:val="26"/>
          <w:szCs w:val="26"/>
        </w:rPr>
      </w:pPr>
    </w:p>
    <w:p w:rsidR="00B532CC" w:rsidRDefault="00B532CC" w:rsidP="00B532CC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32CC" w:rsidRDefault="00B532CC" w:rsidP="00B532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сообщения депутатами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о возникновении личной заинтересованности при исполнении должностных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ностей, которая приводит или может привести к конфликту интересов</w:t>
      </w: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дарственной службы, и иными лицами, о возникновении личной заинтересованн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при исполнении должностных обязанностей, которая приводит или может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вести к конфликту интересов»</w:t>
      </w:r>
      <w:proofErr w:type="gramEnd"/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532CC" w:rsidRDefault="00B532CC" w:rsidP="00B532C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прилагаемое Положение о порядке сообщения депутатами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поселения,</w:t>
      </w:r>
    </w:p>
    <w:p w:rsidR="00B532CC" w:rsidRDefault="00B532CC" w:rsidP="00B532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А.Б. Миньков                                               </w:t>
      </w: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26.04.2016     № 35-106 </w:t>
      </w:r>
    </w:p>
    <w:p w:rsidR="00B532CC" w:rsidRDefault="00B532CC" w:rsidP="00B532CC">
      <w:pPr>
        <w:ind w:left="4820"/>
        <w:jc w:val="both"/>
        <w:rPr>
          <w:sz w:val="26"/>
          <w:szCs w:val="26"/>
        </w:rPr>
      </w:pPr>
    </w:p>
    <w:p w:rsidR="00B532CC" w:rsidRDefault="00B532CC" w:rsidP="00B532C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532CC" w:rsidRDefault="00B532CC" w:rsidP="00B532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сообщения депутатами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о возникновении личной заи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тересованности при исполнении должностных обязанностей, которая приводит или может привести к конфликту интересов</w:t>
      </w: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Положением определяется порядок сообщения депутатами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Депутаты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 в письменной форме в виде уведомления о возникновении личной заинтерес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ванности при исполнении должностных обязанностей, которая приводит или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жет привести к конфликту интересов (далее – уведомление), составленного по форме согласно приложению к настоящему Положению.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Депутаты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колаевского муниципального района, направляют уведомления в комиссию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района Хабаровского края </w:t>
      </w:r>
      <w:r w:rsidRPr="000E687B">
        <w:rPr>
          <w:sz w:val="26"/>
          <w:szCs w:val="26"/>
        </w:rPr>
        <w:t>по контролю за достоверностью сведений о доходах, расходах, об имуществе и обязательствах имущественного характера, представля</w:t>
      </w:r>
      <w:r w:rsidRPr="000E687B">
        <w:rPr>
          <w:sz w:val="26"/>
          <w:szCs w:val="26"/>
        </w:rPr>
        <w:t>е</w:t>
      </w:r>
      <w:r w:rsidRPr="000E687B">
        <w:rPr>
          <w:sz w:val="26"/>
          <w:szCs w:val="26"/>
        </w:rPr>
        <w:t>мых</w:t>
      </w:r>
      <w:r>
        <w:rPr>
          <w:sz w:val="26"/>
          <w:szCs w:val="26"/>
        </w:rPr>
        <w:t xml:space="preserve"> </w:t>
      </w:r>
      <w:r w:rsidRPr="000E687B">
        <w:rPr>
          <w:sz w:val="26"/>
          <w:szCs w:val="26"/>
        </w:rPr>
        <w:t xml:space="preserve"> депутатами </w:t>
      </w:r>
      <w:r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 (далее – комиссия).</w:t>
      </w:r>
      <w:proofErr w:type="gramEnd"/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ходе рассмотрения уведомлений комиссия имеет право получать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 органы государственной власти, органы государственной власти Хабаровского края, иные государственные органы, органы местного самоуправления и заинтер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сованные организации.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 результатам рассмотрения уведомлений комиссией 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Председателю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района.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Комиссия по результатам рассмотрения уведомлений принимает одно из следующих решений: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признать, что при исполнении должностных обязанностей лицом, напр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вившим уведомление, конфликт интересов отсутствует;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признать, что при исполнении должностных обязанностей лицом, напр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вившим уведомление, личная заинтересованность приводит или может привести к конфликту интересов;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признать, что лицом, направившим уведомление, не соблюдались треб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об урегулировании конфликта интересов.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Председатель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принимает меры или обеспечивает принятие мер по предотвращению или урегулированию конфликта интересов либо рекоме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дует лицу, направившему уведомление, принять такие меры.</w:t>
      </w:r>
    </w:p>
    <w:p w:rsidR="00B532CC" w:rsidRPr="00A77123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Комиссия рассматривает уведомления и принимает по ним решения в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рядке, установленном Положением о комиссии Совета депутатов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Pr="000E687B">
        <w:rPr>
          <w:sz w:val="26"/>
          <w:szCs w:val="26"/>
        </w:rPr>
        <w:t>по контролю за достоверностью сведений о доходах, расходах, об имуществе и обязательствах имущественного характера, представляемых</w:t>
      </w:r>
      <w:r>
        <w:rPr>
          <w:sz w:val="26"/>
          <w:szCs w:val="26"/>
        </w:rPr>
        <w:t xml:space="preserve"> </w:t>
      </w:r>
      <w:r w:rsidRPr="000E687B">
        <w:rPr>
          <w:sz w:val="26"/>
          <w:szCs w:val="26"/>
        </w:rPr>
        <w:t xml:space="preserve"> депутатами </w:t>
      </w:r>
      <w:r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района Хабаровского края, </w:t>
      </w:r>
      <w:r w:rsidRPr="00A77123">
        <w:rPr>
          <w:sz w:val="26"/>
          <w:szCs w:val="26"/>
        </w:rPr>
        <w:t xml:space="preserve">утвержденным решением Совета депутатов </w:t>
      </w:r>
      <w:proofErr w:type="spellStart"/>
      <w:r w:rsidRPr="00A77123">
        <w:rPr>
          <w:sz w:val="26"/>
          <w:szCs w:val="26"/>
        </w:rPr>
        <w:t>Ни</w:t>
      </w:r>
      <w:r w:rsidRPr="00A77123">
        <w:rPr>
          <w:sz w:val="26"/>
          <w:szCs w:val="26"/>
        </w:rPr>
        <w:t>ж</w:t>
      </w:r>
      <w:r w:rsidRPr="00A77123">
        <w:rPr>
          <w:sz w:val="26"/>
          <w:szCs w:val="26"/>
        </w:rPr>
        <w:t>непронгенского</w:t>
      </w:r>
      <w:proofErr w:type="spellEnd"/>
      <w:r w:rsidRPr="00A77123">
        <w:rPr>
          <w:sz w:val="26"/>
          <w:szCs w:val="26"/>
        </w:rPr>
        <w:t xml:space="preserve"> сельского поселения Николаевского муниципального района</w:t>
      </w:r>
      <w:proofErr w:type="gramEnd"/>
      <w:r w:rsidRPr="00A77123">
        <w:rPr>
          <w:sz w:val="26"/>
          <w:szCs w:val="26"/>
        </w:rPr>
        <w:t xml:space="preserve"> от 26.04.2016  г. № 35-105.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</w:p>
    <w:p w:rsidR="00B532CC" w:rsidRDefault="00B532CC" w:rsidP="00B532C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порядке сообщения 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путатами Совета депутатов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 о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никновении личной заинтересованности при исполнении должностных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ностей, которая приводит или может привести к конфликту интересов</w:t>
      </w:r>
    </w:p>
    <w:p w:rsidR="00B532CC" w:rsidRDefault="00B532CC" w:rsidP="00B532CC">
      <w:pPr>
        <w:ind w:left="4820"/>
        <w:jc w:val="both"/>
        <w:rPr>
          <w:sz w:val="26"/>
          <w:szCs w:val="26"/>
        </w:rPr>
      </w:pPr>
    </w:p>
    <w:p w:rsidR="00B532CC" w:rsidRDefault="00B532CC" w:rsidP="00B532CC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комиссию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Pr="000E687B">
        <w:rPr>
          <w:sz w:val="26"/>
          <w:szCs w:val="26"/>
        </w:rPr>
        <w:t xml:space="preserve">по </w:t>
      </w:r>
      <w:proofErr w:type="gramStart"/>
      <w:r w:rsidRPr="000E687B">
        <w:rPr>
          <w:sz w:val="26"/>
          <w:szCs w:val="26"/>
        </w:rPr>
        <w:t>контролю за</w:t>
      </w:r>
      <w:proofErr w:type="gramEnd"/>
      <w:r w:rsidRPr="000E687B">
        <w:rPr>
          <w:sz w:val="26"/>
          <w:szCs w:val="26"/>
        </w:rPr>
        <w:t xml:space="preserve"> д</w:t>
      </w:r>
      <w:r w:rsidRPr="000E687B">
        <w:rPr>
          <w:sz w:val="26"/>
          <w:szCs w:val="26"/>
        </w:rPr>
        <w:t>о</w:t>
      </w:r>
      <w:r w:rsidRPr="000E687B">
        <w:rPr>
          <w:sz w:val="26"/>
          <w:szCs w:val="26"/>
        </w:rPr>
        <w:t>стоверностью сведений о доходах, ра</w:t>
      </w:r>
      <w:r w:rsidRPr="000E687B">
        <w:rPr>
          <w:sz w:val="26"/>
          <w:szCs w:val="26"/>
        </w:rPr>
        <w:t>с</w:t>
      </w:r>
      <w:r w:rsidRPr="000E687B">
        <w:rPr>
          <w:sz w:val="26"/>
          <w:szCs w:val="26"/>
        </w:rPr>
        <w:t>ходах, об имуществе и обязательствах имущественного характера, представл</w:t>
      </w:r>
      <w:r w:rsidRPr="000E687B">
        <w:rPr>
          <w:sz w:val="26"/>
          <w:szCs w:val="26"/>
        </w:rPr>
        <w:t>я</w:t>
      </w:r>
      <w:r w:rsidRPr="000E687B">
        <w:rPr>
          <w:sz w:val="26"/>
          <w:szCs w:val="26"/>
        </w:rPr>
        <w:t>емых</w:t>
      </w:r>
      <w:r>
        <w:rPr>
          <w:sz w:val="26"/>
          <w:szCs w:val="26"/>
        </w:rPr>
        <w:t xml:space="preserve"> </w:t>
      </w:r>
      <w:r w:rsidRPr="000E687B">
        <w:rPr>
          <w:sz w:val="26"/>
          <w:szCs w:val="26"/>
        </w:rPr>
        <w:t xml:space="preserve"> депутатами </w:t>
      </w:r>
      <w:r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Хабаровского края</w:t>
      </w:r>
    </w:p>
    <w:p w:rsidR="00B532CC" w:rsidRDefault="00B532CC" w:rsidP="00B532CC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B532CC" w:rsidRDefault="00B532CC" w:rsidP="00B532CC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B532CC" w:rsidRDefault="00B532CC" w:rsidP="00B532CC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(Ф.И.О., замещаемая должность)</w:t>
      </w:r>
    </w:p>
    <w:p w:rsidR="00B532CC" w:rsidRDefault="00B532CC" w:rsidP="00B532CC">
      <w:pPr>
        <w:ind w:left="4820"/>
        <w:jc w:val="both"/>
        <w:rPr>
          <w:sz w:val="26"/>
          <w:szCs w:val="26"/>
        </w:rPr>
      </w:pPr>
    </w:p>
    <w:p w:rsidR="00B532CC" w:rsidRDefault="00B532CC" w:rsidP="00B532CC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B532CC" w:rsidRDefault="00B532CC" w:rsidP="00B532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>
        <w:rPr>
          <w:sz w:val="26"/>
          <w:szCs w:val="26"/>
        </w:rPr>
        <w:t>должностных</w:t>
      </w:r>
      <w:proofErr w:type="gramEnd"/>
      <w:r>
        <w:rPr>
          <w:sz w:val="26"/>
          <w:szCs w:val="26"/>
        </w:rPr>
        <w:t xml:space="preserve"> </w:t>
      </w:r>
    </w:p>
    <w:p w:rsidR="00B532CC" w:rsidRDefault="00B532CC" w:rsidP="00B532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обязанностей,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приводит или может привести к конфликту интересов</w:t>
      </w:r>
    </w:p>
    <w:p w:rsidR="00B532CC" w:rsidRDefault="00B532CC" w:rsidP="00B532CC">
      <w:pPr>
        <w:jc w:val="center"/>
        <w:rPr>
          <w:sz w:val="26"/>
          <w:szCs w:val="26"/>
        </w:rPr>
      </w:pP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у меня личной заинтересованности при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должностных обязанностей, которая приводит или может привести к конфли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ту интересов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подчеркнуть).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Обстоятельства, являющиеся основанием возникновения личной заинтерес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ванности: ____________________________________________________________</w:t>
      </w:r>
    </w:p>
    <w:p w:rsidR="00B532CC" w:rsidRDefault="00B532CC" w:rsidP="00B532C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обязанности, на исполнение которых влияет или может повл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ять личная заинтересованность: ____________________________________________</w:t>
      </w:r>
    </w:p>
    <w:p w:rsidR="00B532CC" w:rsidRDefault="00B532CC" w:rsidP="00B532C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B532CC" w:rsidRDefault="00B532CC" w:rsidP="00B532C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532CC" w:rsidRDefault="00B532CC" w:rsidP="00B532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Намереваюсь (не намереваюсь) лично присутствовать на заседании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сии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района Хабаровского края </w:t>
      </w:r>
      <w:r w:rsidRPr="000E687B">
        <w:rPr>
          <w:sz w:val="26"/>
          <w:szCs w:val="26"/>
        </w:rPr>
        <w:t>по контролю за достоверностью сведений о доходах, расходах, об имуществе и обязательствах имущественного характера, представляемых</w:t>
      </w:r>
      <w:r>
        <w:rPr>
          <w:sz w:val="26"/>
          <w:szCs w:val="26"/>
        </w:rPr>
        <w:t xml:space="preserve"> </w:t>
      </w:r>
      <w:r w:rsidRPr="000E687B">
        <w:rPr>
          <w:sz w:val="26"/>
          <w:szCs w:val="26"/>
        </w:rPr>
        <w:t xml:space="preserve"> депутатами </w:t>
      </w:r>
      <w:r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Николаевского муниципального района Хабаровского края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черкнуть).</w:t>
      </w:r>
    </w:p>
    <w:p w:rsidR="00B532CC" w:rsidRDefault="00B532CC" w:rsidP="00B532CC">
      <w:pPr>
        <w:jc w:val="both"/>
        <w:rPr>
          <w:sz w:val="26"/>
          <w:szCs w:val="26"/>
        </w:rPr>
      </w:pPr>
    </w:p>
    <w:p w:rsidR="00B532CC" w:rsidRDefault="00B532CC" w:rsidP="00B532CC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«___»___________ 20__ г.  _____________________         ____________________</w:t>
      </w:r>
    </w:p>
    <w:p w:rsidR="0034143F" w:rsidRPr="00E871F0" w:rsidRDefault="00B532CC" w:rsidP="00E871F0">
      <w:pPr>
        <w:jc w:val="both"/>
        <w:rPr>
          <w:rFonts w:ascii="Times New Roman" w:eastAsia="Times New Roman" w:hAnsi="Times New Roman"/>
          <w:lang w:eastAsia="ru-RU"/>
        </w:rPr>
      </w:pPr>
      <w:r w:rsidRPr="00530E1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</w:t>
      </w:r>
      <w:r w:rsidRPr="00530E1E">
        <w:rPr>
          <w:sz w:val="20"/>
          <w:szCs w:val="20"/>
        </w:rPr>
        <w:t xml:space="preserve">               (подпись)                                  </w:t>
      </w:r>
      <w:r>
        <w:rPr>
          <w:sz w:val="20"/>
          <w:szCs w:val="20"/>
        </w:rPr>
        <w:t xml:space="preserve">   </w:t>
      </w:r>
      <w:r w:rsidRPr="00530E1E">
        <w:rPr>
          <w:sz w:val="20"/>
          <w:szCs w:val="20"/>
        </w:rPr>
        <w:t xml:space="preserve">  (расшифровка подписи)</w:t>
      </w:r>
      <w:bookmarkStart w:id="0" w:name="_GoBack"/>
      <w:bookmarkEnd w:id="0"/>
    </w:p>
    <w:sectPr w:rsidR="0034143F" w:rsidRPr="00E871F0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5A" w:rsidRDefault="00F73B5A" w:rsidP="004631EC">
      <w:r>
        <w:separator/>
      </w:r>
    </w:p>
  </w:endnote>
  <w:endnote w:type="continuationSeparator" w:id="0">
    <w:p w:rsidR="00F73B5A" w:rsidRDefault="00F73B5A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5A" w:rsidRDefault="00F73B5A" w:rsidP="004631EC">
      <w:r>
        <w:separator/>
      </w:r>
    </w:p>
  </w:footnote>
  <w:footnote w:type="continuationSeparator" w:id="0">
    <w:p w:rsidR="00F73B5A" w:rsidRDefault="00F73B5A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F8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D7429A9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0099B"/>
    <w:rsid w:val="00110F0B"/>
    <w:rsid w:val="001348D7"/>
    <w:rsid w:val="00182B45"/>
    <w:rsid w:val="001B52DB"/>
    <w:rsid w:val="001D58CC"/>
    <w:rsid w:val="001E0C3F"/>
    <w:rsid w:val="00234A13"/>
    <w:rsid w:val="002854B4"/>
    <w:rsid w:val="002D6154"/>
    <w:rsid w:val="002E4D53"/>
    <w:rsid w:val="002F3447"/>
    <w:rsid w:val="002F5CD7"/>
    <w:rsid w:val="0034143F"/>
    <w:rsid w:val="00363431"/>
    <w:rsid w:val="00376170"/>
    <w:rsid w:val="00377DFF"/>
    <w:rsid w:val="004137AE"/>
    <w:rsid w:val="00433455"/>
    <w:rsid w:val="00433787"/>
    <w:rsid w:val="004521B1"/>
    <w:rsid w:val="004631EC"/>
    <w:rsid w:val="00492FC1"/>
    <w:rsid w:val="004C1431"/>
    <w:rsid w:val="00514CBF"/>
    <w:rsid w:val="0056667A"/>
    <w:rsid w:val="005A70F1"/>
    <w:rsid w:val="005C419C"/>
    <w:rsid w:val="005F4E12"/>
    <w:rsid w:val="006231AB"/>
    <w:rsid w:val="00656A0F"/>
    <w:rsid w:val="006640EE"/>
    <w:rsid w:val="00675FB6"/>
    <w:rsid w:val="00736F2C"/>
    <w:rsid w:val="007B1A77"/>
    <w:rsid w:val="007B4D9C"/>
    <w:rsid w:val="007B663B"/>
    <w:rsid w:val="007E1642"/>
    <w:rsid w:val="00851741"/>
    <w:rsid w:val="00877B8B"/>
    <w:rsid w:val="00937A19"/>
    <w:rsid w:val="00946767"/>
    <w:rsid w:val="00971BCE"/>
    <w:rsid w:val="009753CD"/>
    <w:rsid w:val="00982E12"/>
    <w:rsid w:val="009D344E"/>
    <w:rsid w:val="009E2B78"/>
    <w:rsid w:val="00A32FF2"/>
    <w:rsid w:val="00A60FE3"/>
    <w:rsid w:val="00A80988"/>
    <w:rsid w:val="00AD08BA"/>
    <w:rsid w:val="00B35B20"/>
    <w:rsid w:val="00B532CC"/>
    <w:rsid w:val="00B86DA0"/>
    <w:rsid w:val="00B9340B"/>
    <w:rsid w:val="00B96595"/>
    <w:rsid w:val="00BB5AEB"/>
    <w:rsid w:val="00BF45BA"/>
    <w:rsid w:val="00C00D1E"/>
    <w:rsid w:val="00C1362F"/>
    <w:rsid w:val="00C14477"/>
    <w:rsid w:val="00C94E61"/>
    <w:rsid w:val="00CB00A9"/>
    <w:rsid w:val="00CD68A3"/>
    <w:rsid w:val="00D4640B"/>
    <w:rsid w:val="00D556D7"/>
    <w:rsid w:val="00D56B62"/>
    <w:rsid w:val="00D728AC"/>
    <w:rsid w:val="00D94450"/>
    <w:rsid w:val="00E127D2"/>
    <w:rsid w:val="00E871F0"/>
    <w:rsid w:val="00F04E0C"/>
    <w:rsid w:val="00F4297A"/>
    <w:rsid w:val="00F4672A"/>
    <w:rsid w:val="00F5101A"/>
    <w:rsid w:val="00F73B5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59</cp:revision>
  <cp:lastPrinted>2014-07-01T01:49:00Z</cp:lastPrinted>
  <dcterms:created xsi:type="dcterms:W3CDTF">2014-06-30T04:04:00Z</dcterms:created>
  <dcterms:modified xsi:type="dcterms:W3CDTF">2016-04-24T23:57:00Z</dcterms:modified>
</cp:coreProperties>
</file>